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1E6371" w14:paraId="21EFAC6D" w14:textId="77777777" w:rsidTr="003A0CD4">
        <w:trPr>
          <w:trHeight w:val="1883"/>
        </w:trPr>
        <w:tc>
          <w:tcPr>
            <w:tcW w:w="661" w:type="dxa"/>
            <w:shd w:val="clear" w:color="auto" w:fill="FFFFFF" w:themeFill="background1"/>
          </w:tcPr>
          <w:p w14:paraId="023208D4" w14:textId="77777777" w:rsidR="001E6371" w:rsidRDefault="001E637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shd w:val="clear" w:color="auto" w:fill="FFFFFF" w:themeFill="background1"/>
          </w:tcPr>
          <w:p w14:paraId="54895CD2" w14:textId="77777777" w:rsidR="001E6371" w:rsidRDefault="001E637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shd w:val="clear" w:color="auto" w:fill="FFFFFF" w:themeFill="background1"/>
          </w:tcPr>
          <w:p w14:paraId="34BAB9C9" w14:textId="77777777" w:rsidR="001E6371" w:rsidRDefault="001E637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91D7C93" w:rsidR="001E6371" w:rsidRDefault="00CC6CE9">
            <w:pPr>
              <w:pStyle w:val="Text2"/>
              <w:ind w:left="0"/>
              <w:rPr>
                <w:rFonts w:asciiTheme="minorHAnsi" w:hAnsiTheme="minorHAnsi"/>
                <w:sz w:val="18"/>
                <w:lang w:eastAsia="zh-CN"/>
              </w:rPr>
            </w:pP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UK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Netherlands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Belgium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Hungary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France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Portugal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Poland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Denmark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Greece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Luxemburg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Finland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Latvia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Sweden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。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Ireland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Italy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Germany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Slovakia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Bulgaria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Estonia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Lithuania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Spain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Austria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Cyprus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Czech Republic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Croatia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Malta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Romania</w:t>
            </w:r>
            <w:r w:rsidRPr="00CC6CE9">
              <w:rPr>
                <w:rFonts w:ascii="宋体" w:eastAsia="宋体" w:hAnsi="宋体" w:cs="宋体" w:hint="eastAsia"/>
                <w:sz w:val="18"/>
                <w:lang w:eastAsia="zh-CN"/>
              </w:rPr>
              <w:t>，</w:t>
            </w:r>
            <w:r w:rsidRPr="00CC6CE9">
              <w:rPr>
                <w:rFonts w:ascii="宋体" w:eastAsia="宋体" w:hAnsi="宋体" w:cs="宋体"/>
                <w:sz w:val="18"/>
                <w:lang w:eastAsia="zh-CN"/>
              </w:rPr>
              <w:t>Slovenia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2577702" w:rsidR="005F0D43" w:rsidRDefault="006438B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0B4A3F9" w:rsidR="005F0D43" w:rsidRDefault="00593CB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Wenax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1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7FB46D5" w:rsidR="005F0D43" w:rsidRPr="00807225" w:rsidRDefault="005F0D43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E6657AB" w:rsidR="005F0D43" w:rsidRDefault="006438B8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K1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72E0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33C774B4" w:rsidR="005F0D43" w:rsidRDefault="009C1BA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Ni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80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0E067F2" w:rsidR="005F0D43" w:rsidRDefault="00166FB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1. 0.8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 xml:space="preserve">FeCrAl;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2. 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="009C1BA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41282C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FeCrAl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A302" w14:textId="77777777" w:rsidR="00C44ABD" w:rsidRDefault="00C44ABD">
      <w:pPr>
        <w:spacing w:after="0"/>
      </w:pPr>
      <w:r>
        <w:separator/>
      </w:r>
    </w:p>
  </w:endnote>
  <w:endnote w:type="continuationSeparator" w:id="0">
    <w:p w14:paraId="66A59272" w14:textId="77777777" w:rsidR="00C44ABD" w:rsidRDefault="00C44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FEED7" w14:textId="77777777" w:rsidR="00C44ABD" w:rsidRDefault="00C44ABD">
      <w:pPr>
        <w:spacing w:after="0"/>
      </w:pPr>
      <w:r>
        <w:separator/>
      </w:r>
    </w:p>
  </w:footnote>
  <w:footnote w:type="continuationSeparator" w:id="0">
    <w:p w14:paraId="73C11FBD" w14:textId="77777777" w:rsidR="00C44ABD" w:rsidRDefault="00C44A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720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6FB7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1A4E"/>
    <w:rsid w:val="001E6371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282C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3CB4"/>
    <w:rsid w:val="00596FA5"/>
    <w:rsid w:val="005A0138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38B8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D746B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44ABD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6CE9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6AF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599</Words>
  <Characters>3415</Characters>
  <Application>Microsoft Office Word</Application>
  <DocSecurity>0</DocSecurity>
  <Lines>28</Lines>
  <Paragraphs>8</Paragraphs>
  <ScaleCrop>false</ScaleCrop>
  <Company>Harvard School of Public Health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52</cp:revision>
  <cp:lastPrinted>2016-05-10T08:12:00Z</cp:lastPrinted>
  <dcterms:created xsi:type="dcterms:W3CDTF">2016-05-11T13:37:00Z</dcterms:created>
  <dcterms:modified xsi:type="dcterms:W3CDTF">2020-12-22T06:06:00Z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